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招标代理机构遴选评分标准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609"/>
        <w:gridCol w:w="5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  <w:t>评分项目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pacing w:val="8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企业资质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与信誉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（10%）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1.营业执照、经营范围符合要求，合法有效；3分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2.企业信用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良好、无不良履约记录，近3年无行政处罚、无失信记录；4分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3.内部管理制度健全、办公场所固定，具备必要的评审场地和录音录像等监控设备设施；3分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同类项目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业绩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（40%）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近3年承担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过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测绘、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调查、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自然资源确权登记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不动产登记等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自然资源管理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领域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每个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分，最高</w:t>
            </w:r>
            <w:r>
              <w:rPr>
                <w:rFonts w:hint="eastAsia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项目团队与专业能力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（30%）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1.项目负责人同类项目经验丰富；10分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2.成立专门项目组，团队配置合理、专职稳定；10分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3.熟悉自然资源领域政策及招标流程；10分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服务方案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（12%）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1.招标流程完整、节点清晰；4分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2.招标文件编制、风险防控措施到位；4分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3.异议处理、档案管理、服务保障完善；4分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履约保障与服务承诺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（8%）</w:t>
            </w:r>
          </w:p>
        </w:tc>
        <w:tc>
          <w:tcPr>
            <w:tcW w:w="3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1.服务承诺具体、响应及时；3分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2.保密和廉政承诺；3分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lang w:val="en-US" w:eastAsia="zh-CN"/>
              </w:rPr>
              <w:t>3.不转包不分包：2分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 w:line="360" w:lineRule="auto"/>
        <w:jc w:val="both"/>
        <w:textAlignment w:val="auto"/>
        <w:rPr>
          <w:rFonts w:hint="eastAsia" w:ascii="Times New Roman" w:hAnsi="Times New Roman" w:eastAsia="黑体" w:cs="Times New Roman"/>
          <w:b w:val="0"/>
          <w:i w:val="0"/>
          <w:strike w:val="0"/>
          <w:color w:val="auto"/>
          <w:spacing w:val="8"/>
          <w:sz w:val="24"/>
          <w:szCs w:val="43"/>
          <w:u w:val="none"/>
          <w:lang w:eastAsia="zh-CN"/>
        </w:rPr>
      </w:pPr>
      <w:r>
        <w:rPr>
          <w:rStyle w:val="6"/>
          <w:rFonts w:hint="default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</w:rPr>
        <w:t>近三年</w:t>
      </w:r>
      <w:r>
        <w:rPr>
          <w:rStyle w:val="6"/>
          <w:rFonts w:hint="eastAsia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  <w:lang w:eastAsia="zh-CN"/>
        </w:rPr>
        <w:t>是指（</w:t>
      </w:r>
      <w:r>
        <w:rPr>
          <w:rStyle w:val="6"/>
          <w:rFonts w:hint="default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</w:rPr>
        <w:t>2023年1月1日起</w:t>
      </w:r>
      <w:r>
        <w:rPr>
          <w:rFonts w:hint="eastAsia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  <w:lang w:eastAsia="zh-CN"/>
        </w:rPr>
        <w:t>，</w:t>
      </w:r>
      <w:r>
        <w:rPr>
          <w:rFonts w:hint="default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</w:rPr>
        <w:t>以合同签订时间为准</w:t>
      </w:r>
      <w:r>
        <w:rPr>
          <w:rFonts w:hint="eastAsia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  <w:lang w:val="en-US" w:eastAsia="zh-CN"/>
        </w:rPr>
        <w:t>）</w:t>
      </w:r>
      <w:r>
        <w:rPr>
          <w:rFonts w:hint="eastAsia" w:ascii="Times New Roman" w:hAnsi="Times New Roman" w:eastAsia="黑体" w:cs="Times New Roman"/>
          <w:b w:val="0"/>
          <w:i w:val="0"/>
          <w:iCs w:val="0"/>
          <w:caps w:val="0"/>
          <w:strike w:val="0"/>
          <w:color w:val="auto"/>
          <w:spacing w:val="0"/>
          <w:sz w:val="24"/>
          <w:szCs w:val="15"/>
          <w:u w:val="none"/>
          <w:lang w:eastAsia="zh-CN"/>
        </w:rPr>
        <w:t>。</w:t>
      </w:r>
    </w:p>
    <w:p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小标宋简体" w:cs="Times New Roman"/>
          <w:spacing w:val="8"/>
          <w:sz w:val="43"/>
          <w:szCs w:val="43"/>
          <w:lang w:eastAsia="zh-CN"/>
        </w:rPr>
      </w:pPr>
    </w:p>
    <w:p/>
    <w:sectPr>
      <w:pgSz w:w="11906" w:h="16838"/>
      <w:pgMar w:top="2098" w:right="1871" w:bottom="1984" w:left="187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A0032"/>
    <w:rsid w:val="48275A44"/>
    <w:rsid w:val="543E501C"/>
    <w:rsid w:val="70AA0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424</Characters>
  <Lines>0</Lines>
  <Paragraphs>0</Paragraphs>
  <TotalTime>1</TotalTime>
  <ScaleCrop>false</ScaleCrop>
  <LinksUpToDate>false</LinksUpToDate>
  <CharactersWithSpaces>424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2026-03-05T08:48:00Z</dcterms:created>
  <dc:creator>LCQ</dc:creator>
  <cp:lastModifiedBy>LCQ</cp:lastModifiedBy>
  <dcterms:modified xsi:type="dcterms:W3CDTF">2026-03-06T01:43:40Z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